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E093" w14:textId="57FB0496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b/>
          <w:sz w:val="20"/>
          <w:szCs w:val="20"/>
        </w:rPr>
      </w:pPr>
      <w:r w:rsidRPr="00312C6F">
        <w:rPr>
          <w:rFonts w:ascii="New Baskerville" w:hAnsi="New Baskerville" w:cs="Calibri"/>
          <w:b/>
          <w:sz w:val="20"/>
          <w:szCs w:val="20"/>
          <w:highlight w:val="cyan"/>
        </w:rPr>
        <w:t>TEXTO EN GALEGO:</w:t>
      </w:r>
    </w:p>
    <w:p w14:paraId="06200C1F" w14:textId="77777777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b/>
          <w:sz w:val="20"/>
          <w:szCs w:val="20"/>
        </w:rPr>
      </w:pPr>
    </w:p>
    <w:p w14:paraId="167DC344" w14:textId="77777777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b/>
          <w:sz w:val="20"/>
          <w:szCs w:val="20"/>
        </w:rPr>
      </w:pPr>
      <w:r w:rsidRPr="00312C6F">
        <w:rPr>
          <w:rFonts w:ascii="New Baskerville" w:hAnsi="New Baskerville" w:cs="Calibri"/>
          <w:b/>
          <w:sz w:val="20"/>
          <w:szCs w:val="20"/>
        </w:rPr>
        <w:t>Información básica sobre a protección dos seus datos</w:t>
      </w:r>
    </w:p>
    <w:p w14:paraId="71B8B683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</w:rPr>
      </w:pPr>
      <w:r w:rsidRPr="00312C6F">
        <w:rPr>
          <w:rFonts w:ascii="New Baskerville" w:hAnsi="New Baskerville" w:cs="Calibri"/>
          <w:sz w:val="20"/>
          <w:szCs w:val="20"/>
        </w:rPr>
        <w:t>Responsable: Universidade de Vigo</w:t>
      </w:r>
    </w:p>
    <w:p w14:paraId="563EB56F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</w:rPr>
      </w:pPr>
      <w:r w:rsidRPr="00312C6F">
        <w:rPr>
          <w:rFonts w:ascii="New Baskerville" w:hAnsi="New Baskerville" w:cs="Calibri"/>
          <w:sz w:val="20"/>
          <w:szCs w:val="20"/>
        </w:rPr>
        <w:t xml:space="preserve">Finalidade: xestionar... </w:t>
      </w:r>
      <w:r w:rsidRPr="00312C6F">
        <w:rPr>
          <w:rFonts w:ascii="New Baskerville" w:hAnsi="New Baskerville" w:cs="Calibri"/>
          <w:i/>
          <w:color w:val="C45911" w:themeColor="accent2" w:themeShade="BF"/>
          <w:sz w:val="20"/>
          <w:szCs w:val="20"/>
        </w:rPr>
        <w:t>(Descrición sinxela dos fins do tratamento)</w:t>
      </w:r>
    </w:p>
    <w:p w14:paraId="3EC33A51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</w:rPr>
      </w:pPr>
      <w:r w:rsidRPr="00312C6F">
        <w:rPr>
          <w:rFonts w:ascii="New Baskerville" w:hAnsi="New Baskerville" w:cs="Calibri"/>
          <w:sz w:val="20"/>
          <w:szCs w:val="20"/>
        </w:rPr>
        <w:t xml:space="preserve">Lexitimación: </w:t>
      </w:r>
      <w:r w:rsidRPr="00312C6F">
        <w:rPr>
          <w:rFonts w:ascii="New Baskerville" w:hAnsi="New Baskerville" w:cs="Calibri"/>
          <w:i/>
          <w:color w:val="C45911" w:themeColor="accent2" w:themeShade="BF"/>
          <w:sz w:val="20"/>
          <w:szCs w:val="20"/>
        </w:rPr>
        <w:t>(Definir cal é a base xurídica do tratamento. A obriga legal debe ser unha norma con rango de lei)</w:t>
      </w:r>
    </w:p>
    <w:p w14:paraId="62A10AD8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</w:rPr>
      </w:pPr>
      <w:r w:rsidRPr="00312C6F">
        <w:rPr>
          <w:rFonts w:ascii="New Baskerville" w:hAnsi="New Baskerville" w:cs="Calibri"/>
          <w:sz w:val="20"/>
          <w:szCs w:val="20"/>
        </w:rPr>
        <w:t>Cesións:</w:t>
      </w:r>
      <w:r w:rsidRPr="00312C6F">
        <w:rPr>
          <w:rFonts w:ascii="New Baskerville" w:hAnsi="New Baskerville" w:cs="Calibri"/>
          <w:i/>
          <w:color w:val="C45911" w:themeColor="accent2" w:themeShade="BF"/>
          <w:sz w:val="20"/>
          <w:szCs w:val="20"/>
        </w:rPr>
        <w:t xml:space="preserve"> (Previsión ou non de cesións e/ou transferencias a terceiros países; e, en caso afirmativo, a quen | en caso negativo, pode engadirse a cautela de “sen prexuízo daquelas que resulten preceptivas en cumprimento dunha obriga legal”)</w:t>
      </w:r>
    </w:p>
    <w:p w14:paraId="5729DD01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</w:rPr>
      </w:pPr>
      <w:r w:rsidRPr="00312C6F">
        <w:rPr>
          <w:rFonts w:ascii="New Baskerville" w:hAnsi="New Baskerville" w:cs="Calibri"/>
          <w:sz w:val="20"/>
          <w:szCs w:val="20"/>
        </w:rPr>
        <w:t>Dereitos: as persoas interesadas poderán exercitar os seguintes dereitos: acceso, rectificación, supresión, limita</w:t>
      </w:r>
      <w:r w:rsidRPr="00312C6F">
        <w:rPr>
          <w:rFonts w:ascii="New Baskerville" w:hAnsi="New Baskerville" w:cs="Calibri"/>
          <w:sz w:val="20"/>
          <w:szCs w:val="20"/>
        </w:rPr>
        <w:softHyphen/>
        <w:t>ción do tratamento, oposición e, no seu caso, portabilidade dos datos.</w:t>
      </w:r>
    </w:p>
    <w:p w14:paraId="7C1055B6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</w:rPr>
      </w:pPr>
      <w:r w:rsidRPr="00312C6F">
        <w:rPr>
          <w:rFonts w:ascii="New Baskerville" w:hAnsi="New Baskerville" w:cs="Calibri"/>
          <w:sz w:val="20"/>
          <w:szCs w:val="20"/>
        </w:rPr>
        <w:t>Procedencia da información: da propia persoa interesada ou da súa representación legal.</w:t>
      </w:r>
    </w:p>
    <w:p w14:paraId="19B52BF8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</w:rPr>
      </w:pPr>
    </w:p>
    <w:p w14:paraId="56647E84" w14:textId="77777777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sz w:val="20"/>
          <w:szCs w:val="20"/>
        </w:rPr>
      </w:pPr>
      <w:r w:rsidRPr="00312C6F">
        <w:rPr>
          <w:rFonts w:ascii="New Baskerville" w:hAnsi="New Baskerville" w:cs="Calibri"/>
          <w:b/>
          <w:sz w:val="20"/>
          <w:szCs w:val="20"/>
        </w:rPr>
        <w:t>Información adicional</w:t>
      </w:r>
      <w:r w:rsidRPr="00312C6F">
        <w:rPr>
          <w:rFonts w:ascii="New Baskerville" w:hAnsi="New Baskerville" w:cs="Calibri"/>
          <w:sz w:val="20"/>
          <w:szCs w:val="20"/>
        </w:rPr>
        <w:t xml:space="preserve">: </w:t>
      </w:r>
      <w:hyperlink r:id="rId6" w:history="1">
        <w:r w:rsidRPr="00312C6F">
          <w:rPr>
            <w:rStyle w:val="Hipervnculo"/>
            <w:rFonts w:ascii="New Baskerville" w:hAnsi="New Baskerville" w:cs="Calibri"/>
            <w:sz w:val="20"/>
            <w:szCs w:val="20"/>
          </w:rPr>
          <w:t>https://www.uvigo.gal/proteccion-datos</w:t>
        </w:r>
      </w:hyperlink>
      <w:r w:rsidRPr="00312C6F">
        <w:rPr>
          <w:rFonts w:ascii="New Baskerville" w:hAnsi="New Baskerville" w:cs="Calibri"/>
          <w:sz w:val="20"/>
          <w:szCs w:val="20"/>
        </w:rPr>
        <w:t xml:space="preserve"> </w:t>
      </w:r>
    </w:p>
    <w:p w14:paraId="626F38BD" w14:textId="77777777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sz w:val="20"/>
          <w:szCs w:val="20"/>
        </w:rPr>
      </w:pPr>
    </w:p>
    <w:p w14:paraId="5FE0A0AC" w14:textId="77777777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sz w:val="20"/>
          <w:szCs w:val="20"/>
        </w:rPr>
      </w:pPr>
      <w:r w:rsidRPr="00312C6F">
        <w:rPr>
          <w:rFonts w:ascii="New Baskerville" w:hAnsi="New Baskerville" w:cs="Calibri"/>
          <w:sz w:val="20"/>
          <w:szCs w:val="20"/>
        </w:rPr>
        <w:t>--------------------------------------</w:t>
      </w:r>
    </w:p>
    <w:p w14:paraId="4780C38C" w14:textId="77777777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sz w:val="20"/>
          <w:szCs w:val="20"/>
        </w:rPr>
      </w:pPr>
    </w:p>
    <w:p w14:paraId="31DA9C44" w14:textId="53EBC961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b/>
          <w:sz w:val="20"/>
          <w:szCs w:val="20"/>
        </w:rPr>
      </w:pPr>
      <w:r w:rsidRPr="00312C6F">
        <w:rPr>
          <w:rFonts w:ascii="New Baskerville" w:hAnsi="New Baskerville" w:cs="Calibri"/>
          <w:b/>
          <w:sz w:val="20"/>
          <w:szCs w:val="20"/>
          <w:highlight w:val="cyan"/>
        </w:rPr>
        <w:t>TEXTO EN CASTELÁN:</w:t>
      </w:r>
    </w:p>
    <w:p w14:paraId="2AA99E58" w14:textId="77777777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b/>
          <w:sz w:val="20"/>
          <w:szCs w:val="20"/>
        </w:rPr>
      </w:pPr>
    </w:p>
    <w:p w14:paraId="482C4DF1" w14:textId="77777777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b/>
          <w:sz w:val="20"/>
          <w:szCs w:val="20"/>
          <w:lang w:val="es-ES_tradnl"/>
        </w:rPr>
      </w:pPr>
      <w:r w:rsidRPr="00312C6F">
        <w:rPr>
          <w:rFonts w:ascii="New Baskerville" w:hAnsi="New Baskerville" w:cs="Calibri"/>
          <w:b/>
          <w:sz w:val="20"/>
          <w:szCs w:val="20"/>
          <w:lang w:val="es-ES_tradnl"/>
        </w:rPr>
        <w:t>Información básica sobre la protección de sus datos</w:t>
      </w:r>
    </w:p>
    <w:p w14:paraId="66B6E453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  <w:lang w:val="es-ES_tradnl"/>
        </w:rPr>
      </w:pPr>
      <w:r w:rsidRPr="00312C6F">
        <w:rPr>
          <w:rFonts w:ascii="New Baskerville" w:hAnsi="New Baskerville" w:cs="Calibri"/>
          <w:sz w:val="20"/>
          <w:szCs w:val="20"/>
          <w:lang w:val="es-ES_tradnl"/>
        </w:rPr>
        <w:t>Responsable: Universidade de Vigo</w:t>
      </w:r>
    </w:p>
    <w:p w14:paraId="116232D3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  <w:lang w:val="es-ES_tradnl"/>
        </w:rPr>
      </w:pPr>
      <w:r w:rsidRPr="00312C6F">
        <w:rPr>
          <w:rFonts w:ascii="New Baskerville" w:hAnsi="New Baskerville" w:cs="Calibri"/>
          <w:sz w:val="20"/>
          <w:szCs w:val="20"/>
          <w:lang w:val="es-ES_tradnl"/>
        </w:rPr>
        <w:t xml:space="preserve">Finalidad: gestionar… </w:t>
      </w:r>
      <w:r w:rsidRPr="00312C6F">
        <w:rPr>
          <w:rFonts w:ascii="New Baskerville" w:hAnsi="New Baskerville" w:cs="Calibri"/>
          <w:i/>
          <w:color w:val="C45911" w:themeColor="accent2" w:themeShade="BF"/>
          <w:sz w:val="20"/>
          <w:szCs w:val="20"/>
          <w:lang w:val="es-ES_tradnl"/>
        </w:rPr>
        <w:t>(Descripción sencilla de los fines del tratamiento)</w:t>
      </w:r>
    </w:p>
    <w:p w14:paraId="7F4486FD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  <w:lang w:val="es-ES_tradnl"/>
        </w:rPr>
      </w:pPr>
      <w:r w:rsidRPr="00312C6F">
        <w:rPr>
          <w:rFonts w:ascii="New Baskerville" w:hAnsi="New Baskerville" w:cs="Calibri"/>
          <w:sz w:val="20"/>
          <w:szCs w:val="20"/>
          <w:lang w:val="es-ES_tradnl"/>
        </w:rPr>
        <w:t xml:space="preserve">Legitimación: </w:t>
      </w:r>
      <w:r w:rsidRPr="00312C6F">
        <w:rPr>
          <w:rFonts w:ascii="New Baskerville" w:hAnsi="New Baskerville" w:cs="Calibri"/>
          <w:i/>
          <w:color w:val="C45911" w:themeColor="accent2" w:themeShade="BF"/>
          <w:sz w:val="20"/>
          <w:szCs w:val="20"/>
          <w:lang w:val="es-ES_tradnl"/>
        </w:rPr>
        <w:t>(Definir cuál es la base jurídica del tratamiento. La obligación legal debe ser una norma con rango de ley)</w:t>
      </w:r>
    </w:p>
    <w:p w14:paraId="02FB9CE9" w14:textId="7685F019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i/>
          <w:sz w:val="20"/>
          <w:szCs w:val="20"/>
          <w:lang w:val="es-ES_tradnl"/>
        </w:rPr>
      </w:pPr>
      <w:r w:rsidRPr="00312C6F">
        <w:rPr>
          <w:rFonts w:ascii="New Baskerville" w:hAnsi="New Baskerville" w:cs="Calibri"/>
          <w:sz w:val="20"/>
          <w:szCs w:val="20"/>
          <w:lang w:val="es-ES_tradnl"/>
        </w:rPr>
        <w:t>Cesiones:</w:t>
      </w:r>
      <w:r w:rsidRPr="00312C6F">
        <w:rPr>
          <w:rFonts w:ascii="New Baskerville" w:hAnsi="New Baskerville" w:cs="Calibri"/>
          <w:i/>
          <w:color w:val="C45911" w:themeColor="accent2" w:themeShade="BF"/>
          <w:sz w:val="20"/>
          <w:szCs w:val="20"/>
          <w:lang w:val="es-ES_tradnl"/>
        </w:rPr>
        <w:t xml:space="preserve"> (Previsión o no de cesiones y/o transferencias a terceros países; y, en caso afirmativo a quién | en ca</w:t>
      </w:r>
      <w:r>
        <w:rPr>
          <w:rFonts w:ascii="New Baskerville" w:hAnsi="New Baskerville" w:cs="Calibri"/>
          <w:i/>
          <w:color w:val="C45911" w:themeColor="accent2" w:themeShade="BF"/>
          <w:sz w:val="20"/>
          <w:szCs w:val="20"/>
          <w:lang w:val="es-ES_tradnl"/>
        </w:rPr>
        <w:softHyphen/>
      </w:r>
      <w:r w:rsidRPr="00312C6F">
        <w:rPr>
          <w:rFonts w:ascii="New Baskerville" w:hAnsi="New Baskerville" w:cs="Calibri"/>
          <w:i/>
          <w:color w:val="C45911" w:themeColor="accent2" w:themeShade="BF"/>
          <w:sz w:val="20"/>
          <w:szCs w:val="20"/>
          <w:lang w:val="es-ES_tradnl"/>
        </w:rPr>
        <w:t>so negativo, se puede añadir la cautela de “sin perjuicio de aquellas que resulten preceptivas en cum</w:t>
      </w:r>
      <w:r>
        <w:rPr>
          <w:rFonts w:ascii="New Baskerville" w:hAnsi="New Baskerville" w:cs="Calibri"/>
          <w:i/>
          <w:color w:val="C45911" w:themeColor="accent2" w:themeShade="BF"/>
          <w:sz w:val="20"/>
          <w:szCs w:val="20"/>
          <w:lang w:val="es-ES_tradnl"/>
        </w:rPr>
        <w:softHyphen/>
      </w:r>
      <w:r w:rsidRPr="00312C6F">
        <w:rPr>
          <w:rFonts w:ascii="New Baskerville" w:hAnsi="New Baskerville" w:cs="Calibri"/>
          <w:i/>
          <w:color w:val="C45911" w:themeColor="accent2" w:themeShade="BF"/>
          <w:sz w:val="20"/>
          <w:szCs w:val="20"/>
          <w:lang w:val="es-ES_tradnl"/>
        </w:rPr>
        <w:t>pli</w:t>
      </w:r>
      <w:r>
        <w:rPr>
          <w:rFonts w:ascii="New Baskerville" w:hAnsi="New Baskerville" w:cs="Calibri"/>
          <w:i/>
          <w:color w:val="C45911" w:themeColor="accent2" w:themeShade="BF"/>
          <w:sz w:val="20"/>
          <w:szCs w:val="20"/>
          <w:lang w:val="es-ES_tradnl"/>
        </w:rPr>
        <w:softHyphen/>
      </w:r>
      <w:r w:rsidRPr="00312C6F">
        <w:rPr>
          <w:rFonts w:ascii="New Baskerville" w:hAnsi="New Baskerville" w:cs="Calibri"/>
          <w:i/>
          <w:color w:val="C45911" w:themeColor="accent2" w:themeShade="BF"/>
          <w:sz w:val="20"/>
          <w:szCs w:val="20"/>
          <w:lang w:val="es-ES_tradnl"/>
        </w:rPr>
        <w:t>miento de una obligación legal”)</w:t>
      </w:r>
    </w:p>
    <w:p w14:paraId="09BF5A02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  <w:lang w:val="es-ES_tradnl"/>
        </w:rPr>
      </w:pPr>
      <w:r w:rsidRPr="00312C6F">
        <w:rPr>
          <w:rFonts w:ascii="New Baskerville" w:hAnsi="New Baskerville" w:cs="Calibri"/>
          <w:sz w:val="20"/>
          <w:szCs w:val="20"/>
          <w:lang w:val="es-ES_tradnl"/>
        </w:rPr>
        <w:t>Derechos: las personas interesadas podrán ejercitar los siguientes derechos: acceso, rectificación, supresión, li</w:t>
      </w:r>
      <w:r w:rsidRPr="00312C6F">
        <w:rPr>
          <w:rFonts w:ascii="New Baskerville" w:hAnsi="New Baskerville" w:cs="Calibri"/>
          <w:sz w:val="20"/>
          <w:szCs w:val="20"/>
          <w:lang w:val="es-ES_tradnl"/>
        </w:rPr>
        <w:softHyphen/>
        <w:t>mitación del tratamiento, oposición y, en su caso, portabilidad de los datos.</w:t>
      </w:r>
    </w:p>
    <w:p w14:paraId="0CECBD86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  <w:lang w:val="es-ES_tradnl"/>
        </w:rPr>
      </w:pPr>
      <w:r w:rsidRPr="00312C6F">
        <w:rPr>
          <w:rFonts w:ascii="New Baskerville" w:hAnsi="New Baskerville" w:cs="Calibri"/>
          <w:sz w:val="20"/>
          <w:szCs w:val="20"/>
          <w:lang w:val="es-ES_tradnl"/>
        </w:rPr>
        <w:t>Procedencia de la información: de la propia persona interesada o de su representación legal.</w:t>
      </w:r>
    </w:p>
    <w:p w14:paraId="712F6A06" w14:textId="77777777" w:rsidR="00312C6F" w:rsidRPr="00312C6F" w:rsidRDefault="00312C6F" w:rsidP="00312C6F">
      <w:pPr>
        <w:spacing w:after="0" w:line="240" w:lineRule="auto"/>
        <w:ind w:left="284" w:hanging="284"/>
        <w:jc w:val="both"/>
        <w:rPr>
          <w:rFonts w:ascii="New Baskerville" w:hAnsi="New Baskerville" w:cs="Calibri"/>
          <w:sz w:val="20"/>
          <w:szCs w:val="20"/>
          <w:lang w:val="es-ES_tradnl"/>
        </w:rPr>
      </w:pPr>
    </w:p>
    <w:p w14:paraId="43036D81" w14:textId="77777777" w:rsidR="00312C6F" w:rsidRPr="00312C6F" w:rsidRDefault="00312C6F" w:rsidP="00312C6F">
      <w:pPr>
        <w:spacing w:after="0" w:line="240" w:lineRule="auto"/>
        <w:jc w:val="both"/>
        <w:rPr>
          <w:rFonts w:ascii="New Baskerville" w:hAnsi="New Baskerville" w:cs="Calibri"/>
          <w:sz w:val="20"/>
          <w:szCs w:val="20"/>
          <w:lang w:val="es-ES_tradnl"/>
        </w:rPr>
      </w:pPr>
      <w:r w:rsidRPr="00312C6F">
        <w:rPr>
          <w:rFonts w:ascii="New Baskerville" w:hAnsi="New Baskerville" w:cs="Calibri"/>
          <w:b/>
          <w:sz w:val="20"/>
          <w:szCs w:val="20"/>
          <w:lang w:val="es-ES_tradnl"/>
        </w:rPr>
        <w:t>Información adicional</w:t>
      </w:r>
      <w:r w:rsidRPr="00312C6F">
        <w:rPr>
          <w:rFonts w:ascii="New Baskerville" w:hAnsi="New Baskerville" w:cs="Calibri"/>
          <w:sz w:val="20"/>
          <w:szCs w:val="20"/>
          <w:lang w:val="es-ES_tradnl"/>
        </w:rPr>
        <w:t xml:space="preserve">: </w:t>
      </w:r>
      <w:hyperlink r:id="rId7" w:history="1">
        <w:r w:rsidRPr="00312C6F">
          <w:rPr>
            <w:rStyle w:val="Hipervnculo"/>
            <w:rFonts w:ascii="New Baskerville" w:hAnsi="New Baskerville" w:cs="Calibri"/>
            <w:sz w:val="20"/>
            <w:szCs w:val="20"/>
            <w:lang w:val="es-ES_tradnl"/>
          </w:rPr>
          <w:t>https://www.uvigo.gal/proteccion-datos</w:t>
        </w:r>
      </w:hyperlink>
    </w:p>
    <w:sectPr w:rsidR="00312C6F" w:rsidRPr="00312C6F" w:rsidSect="004E4A38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5E71" w14:textId="77777777" w:rsidR="003D30CB" w:rsidRDefault="003D30CB" w:rsidP="00085878">
      <w:pPr>
        <w:spacing w:after="0" w:line="240" w:lineRule="auto"/>
      </w:pPr>
      <w:r>
        <w:separator/>
      </w:r>
    </w:p>
  </w:endnote>
  <w:endnote w:type="continuationSeparator" w:id="0">
    <w:p w14:paraId="20A392B0" w14:textId="77777777" w:rsidR="003D30CB" w:rsidRDefault="003D30CB" w:rsidP="0008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6C37" w14:textId="77777777" w:rsidR="003D30CB" w:rsidRDefault="003D30CB" w:rsidP="00085878">
      <w:pPr>
        <w:spacing w:after="0" w:line="240" w:lineRule="auto"/>
      </w:pPr>
      <w:r>
        <w:separator/>
      </w:r>
    </w:p>
  </w:footnote>
  <w:footnote w:type="continuationSeparator" w:id="0">
    <w:p w14:paraId="65124FBD" w14:textId="77777777" w:rsidR="003D30CB" w:rsidRDefault="003D30CB" w:rsidP="0008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6181" w14:textId="77777777" w:rsidR="00085878" w:rsidRPr="00312C6F" w:rsidRDefault="00085878" w:rsidP="00085878">
    <w:pPr>
      <w:pStyle w:val="Encabezado"/>
      <w:pBdr>
        <w:top w:val="single" w:sz="4" w:space="1" w:color="auto"/>
      </w:pBdr>
      <w:rPr>
        <w:sz w:val="8"/>
        <w:szCs w:val="8"/>
      </w:rPr>
    </w:pPr>
  </w:p>
  <w:p w14:paraId="63F2CE71" w14:textId="0728D640" w:rsidR="00085878" w:rsidRPr="00312C6F" w:rsidRDefault="00085878" w:rsidP="00312C6F">
    <w:pPr>
      <w:pStyle w:val="Ttulo2"/>
      <w:jc w:val="right"/>
      <w:rPr>
        <w:rFonts w:ascii="New Baskerville" w:hAnsi="New Baskerville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54E7CC" wp14:editId="084D667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7" name="Imagen 7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bookmarkStart w:id="0" w:name="_Toc128483032"/>
    <w:r w:rsidR="00312C6F" w:rsidRPr="00312C6F">
      <w:rPr>
        <w:rFonts w:ascii="New Baskerville" w:hAnsi="New Baskerville"/>
      </w:rPr>
      <w:t>Anexo II</w:t>
    </w:r>
    <w:r w:rsidR="00312C6F" w:rsidRPr="00312C6F">
      <w:rPr>
        <w:rFonts w:ascii="New Baskerville" w:hAnsi="New Baskerville"/>
      </w:rPr>
      <w:br/>
      <w:t>Información ás persoas interesadas</w:t>
    </w:r>
    <w:r w:rsidR="00312C6F">
      <w:rPr>
        <w:rFonts w:ascii="New Baskerville" w:hAnsi="New Baskerville"/>
      </w:rPr>
      <w:br/>
    </w:r>
    <w:r w:rsidR="00312C6F" w:rsidRPr="00312C6F">
      <w:rPr>
        <w:rFonts w:ascii="New Baskerville" w:hAnsi="New Baskerville"/>
      </w:rPr>
      <w:t>nos formularios de recollida de datos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FA"/>
    <w:rsid w:val="000210BB"/>
    <w:rsid w:val="00080BF2"/>
    <w:rsid w:val="00085878"/>
    <w:rsid w:val="00312C6F"/>
    <w:rsid w:val="003B183E"/>
    <w:rsid w:val="003D30CB"/>
    <w:rsid w:val="004E4A38"/>
    <w:rsid w:val="006A4AFA"/>
    <w:rsid w:val="006C25D1"/>
    <w:rsid w:val="0080713C"/>
    <w:rsid w:val="008142BC"/>
    <w:rsid w:val="00845604"/>
    <w:rsid w:val="008C7C41"/>
    <w:rsid w:val="009F7B55"/>
    <w:rsid w:val="00B444A9"/>
    <w:rsid w:val="00E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D809"/>
  <w15:chartTrackingRefBased/>
  <w15:docId w15:val="{D881F063-1147-4B01-B0B2-57F629E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A"/>
    <w:rPr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10BB"/>
    <w:pPr>
      <w:spacing w:before="120" w:after="240" w:line="240" w:lineRule="auto"/>
      <w:jc w:val="center"/>
      <w:outlineLvl w:val="1"/>
    </w:pPr>
    <w:rPr>
      <w:rFonts w:cs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4AFA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5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7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85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78"/>
    <w:rPr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0210BB"/>
    <w:rPr>
      <w:rFonts w:cstheme="minorHAnsi"/>
      <w:b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vigo.gal/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Oscar Veloso Fernandez</cp:lastModifiedBy>
  <cp:revision>8</cp:revision>
  <dcterms:created xsi:type="dcterms:W3CDTF">2021-04-15T11:53:00Z</dcterms:created>
  <dcterms:modified xsi:type="dcterms:W3CDTF">2023-03-01T11:00:00Z</dcterms:modified>
</cp:coreProperties>
</file>